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600"/>
        <w:jc w:val="center"/>
      </w:pPr>
      <w:r>
        <w:rPr>
          <w:b/>
          <w:bCs/>
          <w:color w:val="1E3A5F"/>
          <w:sz w:val="48"/>
          <w:szCs w:val="48"/>
        </w:rPr>
        <w:t xml:space="preserve">RAPPORT</w:t>
      </w:r>
    </w:p>
    <w:p>
      <w:pPr>
        <w:spacing w:after="100"/>
        <w:jc w:val="center"/>
      </w:pPr>
      <w:r>
        <w:rPr>
          <w:b/>
          <w:bCs/>
          <w:color w:val="1E3A5F"/>
          <w:sz w:val="30"/>
          <w:szCs w:val="30"/>
        </w:rPr>
        <w:t xml:space="preserve">ÉTAT DE L'INSTALLATION INTÉRIEURE</w:t>
      </w:r>
    </w:p>
    <w:p>
      <w:pPr>
        <w:spacing w:after="300"/>
        <w:jc w:val="center"/>
      </w:pPr>
      <w:r>
        <w:rPr>
          <w:b/>
          <w:bCs/>
          <w:color w:val="1E3A5F"/>
          <w:sz w:val="30"/>
          <w:szCs w:val="30"/>
        </w:rPr>
        <w:t xml:space="preserve">D'ÉLECTRICITÉ</w:t>
      </w:r>
    </w:p>
    <w:p>
      <w:pPr>
        <w:spacing w:after="60"/>
        <w:jc w:val="center"/>
      </w:pPr>
      <w:r>
        <w:rPr>
          <w:sz w:val="22"/>
          <w:szCs w:val="22"/>
        </w:rPr>
        <w:t xml:space="preserve">Selon la norme </w:t>
      </w:r>
      <w:r>
        <w:rPr>
          <w:b/>
          <w:bCs/>
          <w:color w:val="2563EB"/>
          <w:sz w:val="22"/>
          <w:szCs w:val="22"/>
        </w:rPr>
        <w:t xml:space="preserve">NF C 16-600 (Juillet 2017)</w:t>
      </w:r>
    </w:p>
    <w:p>
      <w:pPr>
        <w:spacing w:after="120"/>
      </w:pPr>
    </w:p>
    <w:p>
      <w:pPr>
        <w:spacing w:after="40"/>
        <w:jc w:val="center"/>
      </w:pPr>
      <w:r>
        <w:rPr>
          <w:b/>
          <w:bCs/>
          <w:sz w:val="22"/>
          <w:szCs w:val="22"/>
        </w:rPr>
        <w:t xml:space="preserve">N° de rapport : </w:t>
      </w:r>
      <w:r>
        <w:rPr>
          <w:b/>
          <w:bCs/>
          <w:color w:val="2563EB"/>
          <w:sz w:val="22"/>
          <w:szCs w:val="22"/>
        </w:rPr>
        <w:t xml:space="preserve">{{numero_rapport}}</w:t>
      </w:r>
    </w:p>
    <w:p>
      <w:pPr>
        <w:spacing w:after="400"/>
        <w:jc w:val="center"/>
      </w:pPr>
      <w:r>
        <w:rPr>
          <w:sz w:val="22"/>
          <w:szCs w:val="22"/>
        </w:rPr>
        <w:t xml:space="preserve">Date de visite : </w:t>
      </w:r>
      <w:r>
        <w:rPr>
          <w:b w:val="false"/>
          <w:bCs w:val="false"/>
        </w:rPr>
        <w:t xml:space="preserve">{{elec.date_visite}}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{{diag.raison_sociale}} — {{diag.nom}} {{diag.prenom}}</w:t>
            </w:r>
          </w:p>
        </w:tc>
      </w:tr>
    </w:tbl>
    <w:p>
      <w:pPr>
        <w:spacing w:after="120"/>
      </w:pPr>
    </w:p>
    <w:p>
      <w:pPr>
        <w:spacing w:after="120"/>
      </w:pPr>
    </w:p>
    <w:p>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{{bien.reference_cadastrale}}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{{bien.numero_lot}}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{{bien.niveau}}</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{{bien.surface_habitable}}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{{bien.nb_pieces}}</w:t>
            </w:r>
          </w:p>
        </w:tc>
      </w:tr>
    </w:tbl>
    <w:p>
      <w:pPr>
        <w:spacing w:after="120"/>
      </w:pPr>
    </w:p>
    <w:p>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{{mission.donneur_ordre}}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{{client.civilite}}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{{client.telephone}}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{{client.email}}</w:t>
            </w:r>
          </w:p>
        </w:tc>
      </w:tr>
    </w:tbl>
    <w:p>
      <w:pPr>
        <w:spacing w:after="120"/>
      </w:pPr>
    </w:p>
    <w:p>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{{diag.raison_sociale}}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{{diag.siret}}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{{diag.adresse_numero}} {{diag.adresse_rue}}, {{diag.code_postal}} {{diag.ville}}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{{diag.telephone_mobile}}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{{diag.email}}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{{diag.assurance.compagnie}}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{{diag.assurance.numero_contrat}}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du {{diag.assurance.date_debut}} au {{diag.assurance.date_fin}}</w:t>
            </w:r>
          </w:p>
        </w:tc>
      </w:tr>
    </w:tbl>
    <w:p>
      <w:pPr>
        <w:spacing w:after="120"/>
      </w:pPr>
    </w:p>
    <w:p>
      <w:pPr>
        <w:shd w:fill="1E40AF" w:color="1E40AF" w:val="solid"/>
        <w:spacing w:after="100" w:before="300"/>
        <w:ind w:left="100" w:right="100"/>
      </w:pPr>
      <w:r>
        <w:rPr>
          <w:b/>
          <w:bCs/>
          <w:color w:val="FFFFFF"/>
          <w:sz w:val="22"/>
          <w:szCs w:val="22"/>
        </w:rPr>
        <w:t xml:space="preserve">4. RAPPEL DES LIMITES DU CHAMP DE RÉALISATION</w:t>
      </w:r>
    </w:p>
    <w:p>
      <w:pPr>
        <w:spacing w:after="80"/>
      </w:pPr>
      <w:r>
        <w:rPr>
          <w:sz w:val="18"/>
          <w:szCs w:val="18"/>
        </w:rPr>
        <w:t xml:space="preserve">L'état de l'installation intérieure d'électricité porte sur l'ensemble de l'installation intérieure d'électricité à basse tension des locaux à usage d'habitation située en aval de l'appareil général de commande et de protection de cette installation. Il ne concerne pas les matériels d'utilisation amovibles, ni les circuits internes des matériels d'utilisation fixes.</w:t>
      </w:r>
    </w:p>
    <w:p>
      <w:pPr>
        <w:spacing w:after="80"/>
      </w:pPr>
      <w:r>
        <w:rPr>
          <w:sz w:val="18"/>
          <w:szCs w:val="18"/>
        </w:rPr>
        <w:t xml:space="preserve">L'intervention de l'opérateur ne porte que sur les constituants visibles, visitables, de l'installation au moment du diagnostic. Elle s'effectue sans démontage de l'installation électrique (hormis le démontage des capots des tableaux électriques lorsque cela est possible) ni destruction des isolants des câbles.</w:t>
      </w:r>
    </w:p>
    <w:p>
      <w:pPr>
        <w:spacing w:after="120"/>
      </w:pPr>
    </w:p>
    <w:p>
      <w:pPr>
        <w:shd w:fill="1E40AF" w:color="1E40AF" w:val="solid"/>
        <w:spacing w:after="100" w:before="300"/>
        <w:ind w:left="100" w:right="100"/>
      </w:pPr>
      <w:r>
        <w:rPr>
          <w:b/>
          <w:bCs/>
          <w:color w:val="FFFFFF"/>
          <w:sz w:val="22"/>
          <w:szCs w:val="22"/>
        </w:rPr>
        <w:t xml:space="preserve">5. CARACTÉRISTIQUES DE L'INSTALLATION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Installation alimentée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{{elec.installation_alimentee}}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 compteur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{{elec.numero_compteur}}</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{{elec.numero_pdl}}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Titulaire du contrat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{{elec.titulaire_complet}}</w:t>
            </w:r>
          </w:p>
        </w:tc>
      </w:tr>
    </w:tbl>
    <w:p>
      <w:pPr>
        <w:spacing w:after="120"/>
      </w:pPr>
    </w:p>
    <w:p>
      <w:pPr>
        <w:shd w:fill="DC2626" w:color="DC2626" w:val="solid"/>
        <w:spacing w:after="100" w:before="300"/>
        <w:ind w:left="100" w:right="100"/>
      </w:pPr>
      <w:r>
        <w:rPr>
          <w:b/>
          <w:bCs/>
          <w:color w:val="FFFFFF"/>
          <w:sz w:val="22"/>
          <w:szCs w:val="22"/>
        </w:rPr>
        <w:t xml:space="preserve">5. CONCLUSION — ÉVALUATION DES RISQUES</w:t>
      </w:r>
    </w:p>
    <w:p>
      <w:pPr>
        <w:spacing w:after="80"/>
      </w:pPr>
      <w:r>
        <w:rPr>
          <w:b/>
          <w:bCs/>
          <w:sz w:val="22"/>
          <w:szCs w:val="22"/>
        </w:rPr>
        <w:t xml:space="preserve">{{elec.conclusion}}</w:t>
      </w:r>
    </w:p>
    <w:p>
      <w:pPr>
        <w:spacing w:after="120"/>
      </w:pPr>
    </w:p>
    <w:p>
      <w:pPr>
        <w:pStyle w:val="Heading2"/>
        <w:spacing w:after="80" w:before="200"/>
      </w:pPr>
      <w:r>
        <w:rPr>
          <w:b/>
          <w:bCs/>
          <w:color w:val="1E3A5F"/>
        </w:rPr>
        <w:t xml:space="preserve">Constatations relatives à la sécurité des personnes (E1)</w:t>
      </w:r>
    </w:p>
    <w:p>
      <w:pPr>
        <w:spacing w:after="80"/>
      </w:pPr>
      <w:r>
        <w:t xml:space="preserve">{{elec.constatations_e1}}</w:t>
      </w:r>
    </w:p>
    <w:p>
      <w:pPr>
        <w:pStyle w:val="Heading2"/>
        <w:spacing w:after="80" w:before="200"/>
      </w:pPr>
      <w:r>
        <w:rPr>
          <w:b/>
          <w:bCs/>
          <w:color w:val="1E3A5F"/>
        </w:rPr>
        <w:t xml:space="preserve">Constatations relatives à l'évolution des règles de l'art (E2)</w:t>
      </w:r>
    </w:p>
    <w:p>
      <w:pPr>
        <w:spacing w:after="80"/>
      </w:pPr>
      <w:r>
        <w:t xml:space="preserve">{{elec.constatations_e2}}</w:t>
      </w:r>
    </w:p>
    <w:p>
      <w:pPr>
        <w:spacing w:after="120"/>
      </w:pPr>
    </w:p>
    <w:p>
      <w:pPr>
        <w:spacing w:after="80"/>
      </w:pPr>
      <w:r>
        <w:t xml:space="preserve">Nombre total de points vérifiés : {{elec.points_verifies}}</w:t>
      </w:r>
    </w:p>
    <w:p>
      <w:pPr>
        <w:spacing w:after="80"/>
      </w:pPr>
      <w:r>
        <w:t xml:space="preserve">Nombre de points conformes : {{elec.points_conformes}}</w:t>
      </w:r>
    </w:p>
    <w:p>
      <w:pPr>
        <w:spacing w:after="80"/>
      </w:pPr>
      <w:r>
        <w:rPr>
          <w:b/>
          <w:bCs/>
          <w:color w:val="DC2626"/>
        </w:rPr>
        <w:t xml:space="preserve">Nombre d'anomalies : {{elec.anomalies_count}}</w:t>
      </w:r>
    </w:p>
    <w:p>
      <w:pPr>
        <w:spacing w:after="80"/>
      </w:pPr>
      <w:r>
        <w:t xml:space="preserve">Points non vérifiés : {{elec.points_nv}}</w:t>
      </w:r>
    </w:p>
    <w:p>
      <w:pPr>
        <w:spacing w:after="80"/>
      </w:pPr>
      <w:r>
        <w:t xml:space="preserve">Points sans objet : {{elec.points_so}}</w:t>
      </w:r>
    </w:p>
    <w:p>
      <w:pPr>
        <w:spacing w:after="120"/>
      </w:pPr>
    </w:p>
    <w:p>
      <w:pPr>
        <w:shd w:fill="1E40AF" w:color="1E40AF" w:val="solid"/>
        <w:spacing w:after="100" w:before="300"/>
        <w:ind w:left="100" w:right="100"/>
      </w:pPr>
      <w:r>
        <w:rPr>
          <w:b/>
          <w:bCs/>
          <w:color w:val="FFFFFF"/>
          <w:sz w:val="22"/>
          <w:szCs w:val="22"/>
        </w:rPr>
        <w:t xml:space="preserve">6. RÉSULTATS DÉTAILLÉS PAR DOMAINE</w:t>
      </w:r>
    </w:p>
    <w:p>
      <w:pPr>
        <w:pStyle w:val="Heading2"/>
        <w:spacing w:after="80" w:before="200"/>
      </w:pPr>
      <w:r>
        <w:rPr>
          <w:b/>
          <w:bCs/>
          <w:color w:val="1E3A5F"/>
        </w:rPr>
        <w:t xml:space="preserve">B1 — {{elec.domaine_1.nom}}</w:t>
      </w:r>
    </w:p>
    <w:p>
      <w:pPr>
        <w:spacing w:after="80"/>
      </w:pPr>
      <w:r>
        <w:rPr>
          <w:color w:val="DC2626"/>
        </w:rPr>
        <w:t xml:space="preserve">Anomalies : {{elec.domaine_1.anomalies_count}}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{#elec.points_domaine_1}</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{/elec.points_domaine_1}</w:t>
            </w:r>
          </w:p>
        </w:tc>
      </w:tr>
    </w:tbl>
    <w:p>
      <w:pPr>
        <w:spacing w:after="120"/>
      </w:pPr>
    </w:p>
    <w:p>
      <w:pPr>
        <w:pStyle w:val="Heading2"/>
        <w:spacing w:after="80" w:before="200"/>
      </w:pPr>
      <w:r>
        <w:rPr>
          <w:b/>
          <w:bCs/>
          <w:color w:val="1E3A5F"/>
        </w:rPr>
        <w:t xml:space="preserve">B2 — {{elec.domaine_2.nom}}</w:t>
      </w:r>
    </w:p>
    <w:p>
      <w:pPr>
        <w:spacing w:after="80"/>
      </w:pPr>
      <w:r>
        <w:rPr>
          <w:color w:val="DC2626"/>
        </w:rPr>
        <w:t xml:space="preserve">Anomalies : {{elec.domaine_2.anomalies_count}}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{#elec.points_domaine_2}</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{/elec.points_domaine_2}</w:t>
            </w:r>
          </w:p>
        </w:tc>
      </w:tr>
    </w:tbl>
    <w:p>
      <w:pPr>
        <w:spacing w:after="120"/>
      </w:pPr>
    </w:p>
    <w:p>
      <w:pPr>
        <w:pStyle w:val="Heading2"/>
        <w:spacing w:after="80" w:before="200"/>
      </w:pPr>
      <w:r>
        <w:rPr>
          <w:b/>
          <w:bCs/>
          <w:color w:val="1E3A5F"/>
        </w:rPr>
        <w:t xml:space="preserve">B3 — {{elec.domaine_3.nom}}</w:t>
      </w:r>
    </w:p>
    <w:p>
      <w:pPr>
        <w:spacing w:after="80"/>
      </w:pPr>
      <w:r>
        <w:rPr>
          <w:color w:val="DC2626"/>
        </w:rPr>
        <w:t xml:space="preserve">Anomalies : {{elec.domaine_3.anomalies_count}}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{#elec.points_domaine_3}</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{/elec.points_domaine_3}</w:t>
            </w:r>
          </w:p>
        </w:tc>
      </w:tr>
    </w:tbl>
    <w:p>
      <w:pPr>
        <w:spacing w:after="120"/>
      </w:pPr>
    </w:p>
    <w:p>
      <w:pPr>
        <w:pStyle w:val="Heading2"/>
        <w:spacing w:after="80" w:before="200"/>
      </w:pPr>
      <w:r>
        <w:rPr>
          <w:b/>
          <w:bCs/>
          <w:color w:val="1E3A5F"/>
        </w:rPr>
        <w:t xml:space="preserve">B4 — {{elec.domaine_4.nom}}</w:t>
      </w:r>
    </w:p>
    <w:p>
      <w:pPr>
        <w:spacing w:after="80"/>
      </w:pPr>
      <w:r>
        <w:rPr>
          <w:color w:val="DC2626"/>
        </w:rPr>
        <w:t xml:space="preserve">Anomalies : {{elec.domaine_4.anomalies_count}}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{#elec.points_domaine_4}</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{/elec.points_domaine_4}</w:t>
            </w:r>
          </w:p>
        </w:tc>
      </w:tr>
    </w:tbl>
    <w:p>
      <w:pPr>
        <w:spacing w:after="120"/>
      </w:pPr>
    </w:p>
    <w:p>
      <w:pPr>
        <w:pStyle w:val="Heading2"/>
        <w:spacing w:after="80" w:before="200"/>
      </w:pPr>
      <w:r>
        <w:rPr>
          <w:b/>
          <w:bCs/>
          <w:color w:val="1E3A5F"/>
        </w:rPr>
        <w:t xml:space="preserve">B5 — {{elec.domaine_5.nom}}</w:t>
      </w:r>
    </w:p>
    <w:p>
      <w:pPr>
        <w:spacing w:after="80"/>
      </w:pPr>
      <w:r>
        <w:rPr>
          <w:color w:val="DC2626"/>
        </w:rPr>
        <w:t xml:space="preserve">Anomalies : {{elec.domaine_5.anomalies_count}}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{#elec.points_domaine_5}</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{/elec.points_domaine_5}</w:t>
            </w:r>
          </w:p>
        </w:tc>
      </w:tr>
    </w:tbl>
    <w:p>
      <w:pPr>
        <w:spacing w:after="120"/>
      </w:pPr>
    </w:p>
    <w:p>
      <w:pPr>
        <w:pStyle w:val="Heading2"/>
        <w:spacing w:after="80" w:before="200"/>
      </w:pPr>
      <w:r>
        <w:rPr>
          <w:b/>
          <w:bCs/>
          <w:color w:val="1E3A5F"/>
        </w:rPr>
        <w:t xml:space="preserve">B6 — {{elec.domaine_6.nom}}</w:t>
      </w:r>
    </w:p>
    <w:p>
      <w:pPr>
        <w:spacing w:after="80"/>
      </w:pPr>
      <w:r>
        <w:rPr>
          <w:color w:val="DC2626"/>
        </w:rPr>
        <w:t xml:space="preserve">Anomalies : {{elec.domaine_6.anomalies_count}}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{#elec.points_domaine_6}</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{/elec.points_domaine_6}</w:t>
            </w:r>
          </w:p>
        </w:tc>
      </w:tr>
    </w:tbl>
    <w:p>
      <w:pPr>
        <w:spacing w:after="120"/>
      </w:pPr>
    </w:p>
    <w:p>
      <w:pPr>
        <w:pStyle w:val="Heading2"/>
        <w:spacing w:after="80" w:before="200"/>
      </w:pPr>
      <w:r>
        <w:rPr>
          <w:b/>
          <w:bCs/>
          <w:color w:val="1E3A5F"/>
        </w:rPr>
        <w:t xml:space="preserve">B7 — {{elec.domaine_7.nom}}</w:t>
      </w:r>
    </w:p>
    <w:p>
      <w:pPr>
        <w:spacing w:after="80"/>
      </w:pPr>
      <w:r>
        <w:rPr>
          <w:color w:val="DC2626"/>
        </w:rPr>
        <w:t xml:space="preserve">Anomalies : {{elec.domaine_7.anomalies_count}}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{#elec.points_domaine_7}</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{/elec.points_domaine_7}</w:t>
            </w:r>
          </w:p>
        </w:tc>
      </w:tr>
    </w:tbl>
    <w:p>
      <w:pPr>
        <w:spacing w:after="120"/>
      </w:pPr>
    </w:p>
    <w:p>
      <w:pPr>
        <w:pStyle w:val="Heading2"/>
        <w:spacing w:after="80" w:before="200"/>
      </w:pPr>
      <w:r>
        <w:rPr>
          <w:b/>
          <w:bCs/>
          <w:color w:val="1E3A5F"/>
        </w:rPr>
        <w:t xml:space="preserve">B8 — {{elec.domaine_8.nom}}</w:t>
      </w:r>
    </w:p>
    <w:p>
      <w:pPr>
        <w:spacing w:after="80"/>
      </w:pPr>
      <w:r>
        <w:rPr>
          <w:color w:val="DC2626"/>
        </w:rPr>
        <w:t xml:space="preserve">Anomalies : {{elec.domaine_8.anomalies_count}}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{#elec.points_domaine_8}</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{/elec.points_domaine_8}</w:t>
            </w:r>
          </w:p>
        </w:tc>
      </w:tr>
    </w:tbl>
    <w:p>
      <w:pPr>
        <w:spacing w:after="120"/>
      </w:pPr>
    </w:p>
    <w:p>
      <w:pPr>
        <w:pStyle w:val="Heading2"/>
        <w:spacing w:after="80" w:before="200"/>
      </w:pPr>
      <w:r>
        <w:rPr>
          <w:b/>
          <w:bCs/>
          <w:color w:val="1E3A5F"/>
        </w:rPr>
        <w:t xml:space="preserve">B9 — {{elec.domaine_9.nom}}</w:t>
      </w:r>
    </w:p>
    <w:p>
      <w:pPr>
        <w:spacing w:after="80"/>
      </w:pPr>
      <w:r>
        <w:rPr>
          <w:color w:val="DC2626"/>
        </w:rPr>
        <w:t xml:space="preserve">Anomalies : {{elec.domaine_9.anomalies_count}}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{#elec.points_domaine_9}</w:t>
            </w:r>
          </w:p>
        </w:tc>
        <w:tc>
          <w:tcPr>
            <w:tcW w:type="dxa" w:w="3610"/>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{/elec.points_domaine_9}</w:t>
            </w:r>
          </w:p>
        </w:tc>
      </w:tr>
    </w:tbl>
    <w:p>
      <w:pPr>
        <w:spacing w:after="120"/>
      </w:pPr>
    </w:p>
    <w:p>
      <w:pPr>
        <w:shd w:fill="DC2626" w:color="DC2626" w:val="solid"/>
        <w:spacing w:after="100" w:before="300"/>
        <w:ind w:left="100" w:right="100"/>
      </w:pPr>
      <w:r>
        <w:rPr>
          <w:b/>
          <w:bCs/>
          <w:color w:val="FFFFFF"/>
          <w:sz w:val="22"/>
          <w:szCs w:val="22"/>
        </w:rPr>
        <w:t xml:space="preserve">7. RÉCAPITULATIF DES ANOMALIES IDENTIFIÉES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3159"/>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Pièces</w:t>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{#elec.anomalies}</w:t>
            </w:r>
            <w:r>
              <w:rPr>
                <w:b w:val="false"/>
                <w:bCs w:val="false"/>
              </w:rPr>
              <w:t xml:space="preserve">{{code}}</w:t>
            </w:r>
          </w:p>
        </w:tc>
        <w:tc>
          <w:tcPr>
            <w:tcW w:type="dxa" w:w="3159"/>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pPr>
              <w:jc w:val="center"/>
            </w:pPr>
            <w:r>
              <w:rPr>
                <w:b/>
                <w:bCs/>
                <w:color w:val="DC2626"/>
                <w:sz w:val="16"/>
                <w:szCs w:val="16"/>
              </w:rPr>
              <w:t xml:space="preserve">NON CONFORME</w:t>
            </w:r>
          </w:p>
        </w:tc>
        <w:tc>
          <w:tcPr>
            <w:tcW w:type="dxa" w:w="1805"/>
            <w:tcBorders>
              <w:top w:val="single" w:color="CBD5E1" w:sz="1"/>
              <w:left w:val="single" w:color="CBD5E1" w:sz="1"/>
              <w:bottom w:val="single" w:color="CBD5E1" w:sz="1"/>
              <w:right w:val="single" w:color="CBD5E1" w:sz="1"/>
            </w:tcBorders>
            <w:vAlign w:val="center"/>
          </w:tcPr>
          <w:p>
            <w:pPr>
              <w:jc w:val="left"/>
            </w:pPr>
            <w:r>
              <w:rPr>
                <w:b w:val="false"/>
                <w:bCs w:val="false"/>
              </w:rPr>
              <w:t xml:space="preserve">{{pieces_noms}}</w:t>
            </w:r>
          </w:p>
        </w:tc>
        <w:tc>
          <w:tcPr>
            <w:tcW w:type="dxa" w:w="1805"/>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{/elec.anomalies}</w:t>
            </w:r>
          </w:p>
        </w:tc>
      </w:tr>
    </w:tbl>
    <w:p>
      <w:pPr>
        <w:spacing w:after="120"/>
      </w:pPr>
    </w:p>
    <w:p>
      <w:pPr>
        <w:shd w:fill="1E40AF" w:color="1E40AF" w:val="solid"/>
        <w:spacing w:after="100" w:before="300"/>
        <w:ind w:left="100" w:right="100"/>
      </w:pPr>
      <w:r>
        <w:rPr>
          <w:b/>
          <w:bCs/>
          <w:color w:val="FFFFFF"/>
          <w:sz w:val="22"/>
          <w:szCs w:val="22"/>
        </w:rPr>
        <w:t xml:space="preserve">8. POINTS DE CONTRÔLE NON VÉRIFIÉS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Code</w:t>
            </w:r>
          </w:p>
        </w:tc>
        <w:tc>
          <w:tcPr>
            <w:tcW w:type="dxa" w:w="43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Observations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{#elec.points_nv}</w:t>
            </w:r>
          </w:p>
        </w:tc>
        <w:tc>
          <w:tcPr>
            <w:tcW w:type="dxa" w:w="4332"/>
            <w:tcBorders>
              <w:top w:val="single" w:color="CBD5E1" w:sz="1"/>
              <w:left w:val="single" w:color="CBD5E1" w:sz="1"/>
              <w:bottom w:val="single" w:color="CBD5E1" w:sz="1"/>
              <w:right w:val="single" w:color="CBD5E1" w:sz="1"/>
            </w:tcBorders>
            <w:vAlign w:val="center"/>
          </w:tcPr>
          <w:p>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{/elec.points_nv}</w:t>
            </w:r>
          </w:p>
        </w:tc>
      </w:tr>
    </w:tbl>
    <w:p>
      <w:pPr>
        <w:spacing w:after="120"/>
      </w:pPr>
    </w:p>
    <w:p>
      <w:pPr>
        <w:shd w:fill="1E40AF" w:color="1E40AF" w:val="solid"/>
        <w:spacing w:after="100" w:before="300"/>
        <w:ind w:left="100" w:right="100"/>
      </w:pPr>
      <w:r>
        <w:rPr>
          <w:b/>
          <w:bCs/>
          <w:color w:val="FFFFFF"/>
          <w:sz w:val="22"/>
          <w:szCs w:val="22"/>
        </w:rPr>
        <w:t xml:space="preserve">9.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Motif / Justification</w:t>
            </w:r>
          </w:p>
        </w:tc>
      </w:tr>
      <w:tr>
        <w:tc>
          <w:tcPr>
            <w:tcW w:type="dxa" w:w="3610"/>
            <w:tcBorders>
              <w:top w:val="single" w:color="CBD5E1" w:sz="1"/>
              <w:left w:val="single" w:color="CBD5E1" w:sz="1"/>
              <w:bottom w:val="single" w:color="CBD5E1" w:sz="1"/>
              <w:right w:val="single" w:color="CBD5E1" w:sz="1"/>
            </w:tcBorders>
            <w:vAlign w:val="center"/>
          </w:tcPr>
          <w:p>
            <w:pPr>
              <w:jc w:val="left"/>
            </w:pPr>
            <w:r>
              <w:t xml:space="preserve">{#elec.pieces_non_visitees}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pPr>
              <w:jc w:val="left"/>
            </w:pPr>
            <w:r>
              <w:rPr>
                <w:b w:val="false"/>
                <w:bCs w:val="false"/>
              </w:rPr>
              <w:t xml:space="preserve">{{motif}}</w:t>
            </w:r>
            <w:r>
              <w:t xml:space="preserve">{/elec.pieces_non_visitees}</w:t>
            </w:r>
          </w:p>
        </w:tc>
      </w:tr>
    </w:tbl>
    <w:p>
      <w:pPr>
        <w:spacing w:after="120"/>
      </w:pPr>
    </w:p>
    <w:p>
      <w:pPr>
        <w:shd w:fill="1E40AF" w:color="1E40AF" w:val="solid"/>
        <w:spacing w:after="100" w:before="300"/>
        <w:ind w:left="100" w:right="100"/>
      </w:pPr>
      <w:r>
        <w:rPr>
          <w:b/>
          <w:bCs/>
          <w:color w:val="FFFFFF"/>
          <w:sz w:val="22"/>
          <w:szCs w:val="22"/>
        </w:rPr>
        <w:t xml:space="preserve">10. INFORMATIONS COMPLÉMENTAIRES</w:t>
      </w:r>
    </w:p>
    <w:p>
      <w:pPr>
        <w:spacing w:after="80"/>
      </w:pPr>
      <w:r>
        <w:t xml:space="preserve">{{elec.informations_complementaires}}</w:t>
      </w:r>
    </w:p>
    <w:p>
      <w:pPr>
        <w:spacing w:after="120"/>
      </w:pPr>
    </w:p>
    <w:p>
      <w:pPr>
        <w:shd w:fill="1E40AF" w:color="1E40AF" w:val="solid"/>
        <w:spacing w:after="100" w:before="300"/>
        <w:ind w:left="100" w:right="100"/>
      </w:pPr>
      <w:r>
        <w:rPr>
          <w:b/>
          <w:bCs/>
          <w:color w:val="FFFFFF"/>
          <w:sz w:val="22"/>
          <w:szCs w:val="22"/>
        </w:rPr>
        <w:t xml:space="preserve">11. EXPLICITATIONS DÉTAILLÉES DES RISQUES ENCOURUS</w:t>
      </w:r>
    </w:p>
    <w:p>
      <w:pPr>
        <w:spacing w:after="80"/>
      </w:pPr>
      <w:r>
        <w:rPr>
          <w:b/>
          <w:bCs/>
        </w:rPr>
        <w:t xml:space="preserve">Les anomalies identifiées dans le présent rapport peuvent engendrer les risques suivants :</w:t>
      </w:r>
    </w:p>
    <w:p>
      <w:pPr>
        <w:spacing w:after="120"/>
      </w:pPr>
    </w:p>
    <w:p>
      <w:pPr>
        <w:pStyle w:val="Heading2"/>
        <w:spacing w:after="80" w:before="200"/>
      </w:pPr>
      <w:r>
        <w:rPr>
          <w:b/>
          <w:bCs/>
          <w:color w:val="1E3A5F"/>
        </w:rPr>
        <w:t xml:space="preserve">Appareil général de commande et de protection</w:t>
      </w:r>
    </w:p>
    <w:p>
      <w:pPr>
        <w:spacing w:after="80"/>
      </w:pPr>
      <w:r>
        <w:rPr>
          <w:sz w:val="18"/>
          <w:szCs w:val="18"/>
        </w:rPr>
        <w:t xml:space="preserve">Cet appareil, accessible à l'intérieur du logement, permet d'interrompre, en cas d'urgence, la totalité de la fourniture de l'alimentation électrique. Son absence, son inaccessibilité ou un appareil inadapté ne permet pas d'assurer cette fonction de coupure en cas de danger (risque d'électrisation, voire d'électrocution), d'incendie ou d'intervention sur l'installation électrique.</w:t>
      </w:r>
    </w:p>
    <w:p>
      <w:pPr>
        <w:pStyle w:val="Heading2"/>
        <w:spacing w:after="80" w:before="200"/>
      </w:pPr>
      <w:r>
        <w:rPr>
          <w:b/>
          <w:bCs/>
          <w:color w:val="1E3A5F"/>
        </w:rPr>
        <w:t xml:space="preserve">Dispositif de protection différentielle</w:t>
      </w:r>
    </w:p>
    <w:p>
      <w:pPr>
        <w:spacing w:after="80"/>
      </w:pPr>
      <w:r>
        <w:rPr>
          <w:sz w:val="18"/>
          <w:szCs w:val="18"/>
        </w:rPr>
        <w:t xml:space="preserve">Ce dispositif permet de protéger les personnes contre les risques de choc électrique lors d'un défaut d'isolement sur un matériel électrique. Son absence ou son mauvais fonctionnement peut être la cause d'une électrisation, voire d'une électrocution.</w:t>
      </w:r>
    </w:p>
    <w:p>
      <w:pPr>
        <w:pStyle w:val="Heading2"/>
        <w:spacing w:after="80" w:before="200"/>
      </w:pPr>
      <w:r>
        <w:rPr>
          <w:b/>
          <w:bCs/>
          <w:color w:val="1E3A5F"/>
        </w:rPr>
        <w:t xml:space="preserve">Prise de terre et installation de mise à la terre</w:t>
      </w:r>
    </w:p>
    <w:p>
      <w:pPr>
        <w:spacing w:after="80"/>
      </w:pPr>
      <w:r>
        <w:rPr>
          <w:sz w:val="18"/>
          <w:szCs w:val="18"/>
        </w:rPr>
        <w:t xml:space="preserve">Ces éléments permettent, lors d'un défaut d'isolement sur un matériel électrique, de dévier à la terre le courant de défaut dangereux qui en résulte. L'absence de ces éléments ou leur inexistence partielle peut être la cause d'une électrisation, voire d'une électrocution.</w:t>
      </w:r>
    </w:p>
    <w:p>
      <w:pPr>
        <w:pStyle w:val="Heading2"/>
        <w:spacing w:after="80" w:before="200"/>
      </w:pPr>
      <w:r>
        <w:rPr>
          <w:b/>
          <w:bCs/>
          <w:color w:val="1E3A5F"/>
        </w:rPr>
        <w:t xml:space="preserve">Dispositif de protection contre les surintensités</w:t>
      </w:r>
    </w:p>
    <w:p>
      <w:pPr>
        <w:spacing w:after="80"/>
      </w:pPr>
      <w:r>
        <w:rPr>
          <w:sz w:val="18"/>
          <w:szCs w:val="18"/>
        </w:rPr>
        <w:t xml:space="preserve">Les disjoncteurs divisionnaires ou coupe-circuits à cartouche fusible, à l'origine de chaque circuit, permettent de protéger les conducteurs et câbles électriques contre les échauffements anormaux dus aux surcharges ou courts-circuits. L'absence de ces dispositifs de protection ou leur calibre trop élevé peut être à l'origine d'incendies.</w:t>
      </w:r>
    </w:p>
    <w:p>
      <w:pPr>
        <w:pStyle w:val="Heading2"/>
        <w:spacing w:after="80" w:before="200"/>
      </w:pPr>
      <w:r>
        <w:rPr>
          <w:b/>
          <w:bCs/>
          <w:color w:val="1E3A5F"/>
        </w:rPr>
        <w:t xml:space="preserve">Liaison équipotentielle — Locaux baignoire / douche</w:t>
      </w:r>
    </w:p>
    <w:p>
      <w:pPr>
        <w:spacing w:after="80"/>
      </w:pPr>
      <w:r>
        <w:rPr>
          <w:sz w:val="18"/>
          <w:szCs w:val="18"/>
        </w:rPr>
        <w:t xml:space="preserve">Elle permet d'éviter, lors d'un défaut, que le corps humain ne soit traversé par un courant électrique dangereux. Son absence privilégie, en cas de défaut, l'écoulement du courant électrique par le corps humain, ce qui peut être la cause d'une électrisation, voire d'une électrocution.</w:t>
      </w:r>
    </w:p>
    <w:p>
      <w:pPr>
        <w:pStyle w:val="Heading2"/>
        <w:spacing w:after="80" w:before="200"/>
      </w:pPr>
      <w:r>
        <w:rPr>
          <w:b/>
          <w:bCs/>
          <w:color w:val="1E3A5F"/>
        </w:rPr>
        <w:t xml:space="preserve">Matériels présentant des risques de contact direct</w:t>
      </w:r>
    </w:p>
    <w:p>
      <w:pPr>
        <w:spacing w:after="80"/>
      </w:pPr>
      <w:r>
        <w:rPr>
          <w:sz w:val="18"/>
          <w:szCs w:val="18"/>
        </w:rPr>
        <w:t xml:space="preserve">Les matériels électriques dont des parties nues sous tension sont accessibles (matériels électriques anciens, fils électriques dénudés, bornes de connexion non placées dans une boîte équipée d'un couvercle, matériels électriques cassés...) présentent d'importants risques d'électrisation, voire d'électrocution.</w:t>
      </w:r>
    </w:p>
    <w:p>
      <w:pPr>
        <w:pStyle w:val="Heading2"/>
        <w:spacing w:after="80" w:before="200"/>
      </w:pPr>
      <w:r>
        <w:rPr>
          <w:b/>
          <w:bCs/>
          <w:color w:val="1E3A5F"/>
        </w:rPr>
        <w:t xml:space="preserve">Matériels électriques vétustes ou inadaptés à l'usage</w:t>
      </w:r>
    </w:p>
    <w:p>
      <w:pPr>
        <w:spacing w:after="80"/>
      </w:pPr>
      <w:r>
        <w:rPr>
          <w:sz w:val="18"/>
          <w:szCs w:val="18"/>
        </w:rPr>
        <w:t xml:space="preserve">Ces matériels électriques, lorsqu'ils sont trop anciens, n'assurent plus une protection satisfaisante contre l'accès aux parties nues sous tension ou ne possèdent plus un niveau d'isolement suffisant. Ils présentent d'importants risques d'électrisation, voire d'électrocution.</w:t>
      </w:r>
    </w:p>
    <w:p>
      <w:pPr>
        <w:spacing w:after="120"/>
      </w:pPr>
    </w:p>
    <w:p>
      <w:pPr>
        <w:shd w:fill="1E40AF" w:color="1E40AF" w:val="solid"/>
        <w:spacing w:after="100" w:before="300"/>
        <w:ind w:left="100" w:right="100"/>
      </w:pPr>
      <w:r>
        <w:rPr>
          <w:b/>
          <w:bCs/>
          <w:color w:val="FFFFFF"/>
          <w:sz w:val="22"/>
          <w:szCs w:val="22"/>
        </w:rPr>
        <w:t xml:space="preserve">12. SIGNATURE</w:t>
      </w:r>
    </w:p>
    <w:p>
      <w:pPr>
        <w:spacing w:after="80"/>
      </w:pPr>
      <w:r>
        <w:t xml:space="preserve">Fait à {{diag.ville}}, le {{date_generation}}</w:t>
      </w:r>
    </w:p>
    <w:p>
      <w:pPr>
        <w:spacing w:after="120"/>
      </w:pPr>
    </w:p>
    <w:p>
      <w:pPr>
        <w:spacing w:after="80"/>
      </w:pPr>
      <w:r>
        <w:t xml:space="preserve">L'opérateur de diagnostic :</w:t>
      </w:r>
    </w:p>
    <w:p>
      <w:pPr>
        <w:spacing w:after="80"/>
      </w:pPr>
      <w:r>
        <w:rPr>
          <w:b/>
          <w:bCs/>
        </w:rPr>
        <w:t xml:space="preserve">{{diag.civilite}} {{diag.nom}} {{diag.prenom}}</w:t>
      </w:r>
    </w:p>
    <w:p>
      <w:pPr>
        <w:spacing w:after="120"/>
      </w:pPr>
    </w:p>
    <w:p>
      <w:pPr>
        <w:spacing w:after="120"/>
      </w:pPr>
    </w:p>
    <w:p>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3A5F" w:sz="2"/>
      </w:pBdr>
      <w:spacing w:after="0"/>
      <w:jc w:val="center"/>
    </w:pPr>
    <w:r>
      <w:rPr>
        <w:b/>
        <w:bCs/>
        <w:color w:val="1E3A5F"/>
        <w:sz w:val="18"/>
        <w:szCs w:val="18"/>
      </w:rPr>
      <w:t xml:space="preserve">ÉTAT DE L'INSTALLATION INTÉRIEURE D'ÉLECTRICITÉ</w:t>
    </w:r>
    <w:r>
      <w:rPr>
        <w:i/>
        <w:iCs/>
        <w:color w:val="64748B"/>
        <w:sz w:val="16"/>
        <w:szCs w:val="16"/>
      </w:rPr>
      <w:t xml:space="preserve">  —  NF C 16-600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1E3A5F"/>
      <w:sz w:val="32"/>
      <w:szCs w:val="32"/>
    </w:rPr>
  </w:style>
  <w:style w:type="paragraph" w:styleId="Heading2">
    <w:name w:val="Heading 2"/>
    <w:basedOn w:val="Normal"/>
    <w:next w:val="Normal"/>
    <w:qFormat/>
    <w:rPr>
      <w:rFonts w:ascii="Calibri" w:cs="Calibri" w:eastAsia="Calibri" w:hAnsi="Calibri"/>
      <w:b/>
      <w:bCs/>
      <w:color w:val="2563EB"/>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2026-04-04T20:27:16.617Z</dcterms:created>
  <dcterms:modified xsi:type="dcterms:W3CDTF">2026-04-04T20:27:16.617Z</dcterms:modified>
</cp:coreProperties>
</file>

<file path=docProps/custom.xml><?xml version="1.0" encoding="utf-8"?>
<Properties xmlns="http://schemas.openxmlformats.org/officeDocument/2006/custom-properties" xmlns:vt="http://schemas.openxmlformats.org/officeDocument/2006/docPropsVTypes"/>
</file>